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77" w:rsidRPr="00576197" w:rsidRDefault="00716F77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7204"/>
      </w:tblGrid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unit (module) title </w:t>
            </w:r>
          </w:p>
        </w:tc>
        <w:tc>
          <w:tcPr>
            <w:tcW w:w="7204" w:type="dxa"/>
          </w:tcPr>
          <w:p w:rsidR="00716F77" w:rsidRPr="00576197" w:rsidRDefault="00841606">
            <w:pPr>
              <w:keepNext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576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in University Science Laboratories</w:t>
            </w:r>
            <w:r w:rsidR="00576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76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F77" w:rsidRPr="00576197" w:rsidRDefault="00841606">
            <w:pPr>
              <w:keepNext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Developing Best Practice  </w:t>
            </w:r>
            <w:bookmarkEnd w:id="1"/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Standard Classification of Education ISCED</w:t>
            </w:r>
          </w:p>
        </w:tc>
        <w:tc>
          <w:tcPr>
            <w:tcW w:w="7204" w:type="dxa"/>
          </w:tcPr>
          <w:p w:rsidR="00716F77" w:rsidRPr="00576197" w:rsidRDefault="008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01/05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instruction</w:t>
            </w:r>
          </w:p>
        </w:tc>
        <w:tc>
          <w:tcPr>
            <w:tcW w:w="7204" w:type="dxa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Course objectives</w:t>
            </w:r>
          </w:p>
        </w:tc>
        <w:tc>
          <w:tcPr>
            <w:tcW w:w="7204" w:type="dxa"/>
          </w:tcPr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improve effectiveness of laboratory classes. 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To support relatively inexperienced university teachers in order to improve their teaching skills for active learning university science laboratory courses.</w:t>
            </w:r>
          </w:p>
          <w:p w:rsidR="00716F77" w:rsidRPr="00576197" w:rsidRDefault="0071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Learning outcomes </w:t>
            </w:r>
          </w:p>
          <w:p w:rsidR="00716F77" w:rsidRPr="00576197" w:rsidRDefault="00716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</w:tcPr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when completed the course will be able to: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the purposes of  implementing laboratory classes in higher education. 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different types of laboratory sessions with respect to their aim and expected learning outcomes. 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strategies on how to increase student engagement.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Develop strategies to cope with different levels of pre-knowledge and lab experience in one group.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Develop effective questions to probe student understanding of laboratory practice.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rubric for assessing a student performing a lab activity and subsequent reports.</w:t>
            </w:r>
          </w:p>
          <w:p w:rsidR="00716F77" w:rsidRPr="00576197" w:rsidRDefault="008416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 on how this course can impact on your own teaching practice. </w:t>
            </w:r>
          </w:p>
          <w:p w:rsidR="00716F77" w:rsidRPr="00576197" w:rsidRDefault="00716F77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course unit (compulsory/optional)</w:t>
            </w:r>
          </w:p>
        </w:tc>
        <w:tc>
          <w:tcPr>
            <w:tcW w:w="7204" w:type="dxa"/>
          </w:tcPr>
          <w:p w:rsidR="00716F77" w:rsidRPr="00576197" w:rsidRDefault="008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Preliminary and additional requirements </w:t>
            </w:r>
          </w:p>
        </w:tc>
        <w:tc>
          <w:tcPr>
            <w:tcW w:w="7204" w:type="dxa"/>
          </w:tcPr>
          <w:p w:rsidR="00716F77" w:rsidRPr="00576197" w:rsidRDefault="008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Some experience in teaching science laboratory classes and being an active lab teacher</w:t>
            </w:r>
            <w:r w:rsidR="00576197">
              <w:rPr>
                <w:rFonts w:ascii="Times New Roman" w:hAnsi="Times New Roman" w:cs="Times New Roman"/>
                <w:sz w:val="24"/>
                <w:szCs w:val="24"/>
              </w:rPr>
              <w:t>/teaching assistant</w:t>
            </w: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Mode of delivery (face-to-face, distance learning)</w:t>
            </w:r>
          </w:p>
        </w:tc>
        <w:tc>
          <w:tcPr>
            <w:tcW w:w="7204" w:type="dxa"/>
          </w:tcPr>
          <w:p w:rsidR="00716F77" w:rsidRPr="00576197" w:rsidRDefault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Blended </w:t>
            </w:r>
            <w:r w:rsidR="00841606"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Delivery length</w:t>
            </w:r>
          </w:p>
        </w:tc>
        <w:tc>
          <w:tcPr>
            <w:tcW w:w="7204" w:type="dxa"/>
          </w:tcPr>
          <w:p w:rsidR="00716F77" w:rsidRPr="00576197" w:rsidRDefault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ECTS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credits allocated</w:t>
            </w:r>
          </w:p>
        </w:tc>
        <w:tc>
          <w:tcPr>
            <w:tcW w:w="7204" w:type="dxa"/>
          </w:tcPr>
          <w:p w:rsidR="00716F77" w:rsidRPr="00576197" w:rsidRDefault="00841606" w:rsidP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Estimation of the student workload needed in order to achieve expected learning outcomes</w:t>
            </w:r>
          </w:p>
        </w:tc>
        <w:tc>
          <w:tcPr>
            <w:tcW w:w="7204" w:type="dxa"/>
          </w:tcPr>
          <w:p w:rsidR="004159D0" w:rsidRPr="00576197" w:rsidRDefault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6 on-line modules – 12 hours</w:t>
            </w:r>
          </w:p>
          <w:p w:rsidR="004159D0" w:rsidRPr="00576197" w:rsidRDefault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2  face to face meetings – 4 hours</w:t>
            </w:r>
          </w:p>
          <w:p w:rsidR="004159D0" w:rsidRPr="00576197" w:rsidRDefault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Readings - 12</w:t>
            </w:r>
          </w:p>
          <w:p w:rsidR="004159D0" w:rsidRPr="00576197" w:rsidRDefault="0041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Preparation of </w:t>
            </w:r>
            <w:proofErr w:type="spellStart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homeworks</w:t>
            </w:r>
            <w:proofErr w:type="spellEnd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</w:t>
            </w:r>
          </w:p>
          <w:p w:rsidR="004159D0" w:rsidRPr="00576197" w:rsidRDefault="0041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final essay - 10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&amp; learning methods</w:t>
            </w:r>
          </w:p>
        </w:tc>
        <w:tc>
          <w:tcPr>
            <w:tcW w:w="7204" w:type="dxa"/>
          </w:tcPr>
          <w:p w:rsidR="00716F77" w:rsidRPr="00576197" w:rsidRDefault="008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 xml:space="preserve">Readings, video, forum discussions, quizzes, written assignments 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methods and criteria;   course grading</w:t>
            </w:r>
          </w:p>
        </w:tc>
        <w:tc>
          <w:tcPr>
            <w:tcW w:w="7204" w:type="dxa"/>
          </w:tcPr>
          <w:p w:rsidR="00716F77" w:rsidRPr="00576197" w:rsidRDefault="0084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hAnsi="Times New Roman" w:cs="Times New Roman"/>
                <w:sz w:val="24"/>
                <w:szCs w:val="24"/>
              </w:rPr>
              <w:t>Peer-assessment, Quizzes, Case study (rubric)</w:t>
            </w:r>
          </w:p>
        </w:tc>
      </w:tr>
      <w:tr w:rsidR="00716F77" w:rsidRPr="00576197">
        <w:trPr>
          <w:trHeight w:val="28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topics/content </w:t>
            </w:r>
          </w:p>
        </w:tc>
        <w:tc>
          <w:tcPr>
            <w:tcW w:w="7204" w:type="dxa"/>
          </w:tcPr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The role of laboratory work in university chemistry .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Instruction Styles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Strategies to increase student engagement during laboratory sessions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 of laboratory classes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Threshold concepts in chemistry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Johnstone's triangle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 qualities of a laboratory instructor.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 in the classroom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and teacher preparation for a class</w:t>
            </w:r>
          </w:p>
          <w:p w:rsidR="00716F77" w:rsidRPr="00576197" w:rsidRDefault="0084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Giving instruction</w:t>
            </w:r>
          </w:p>
          <w:p w:rsidR="00716F77" w:rsidRPr="00576197" w:rsidRDefault="00841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– designing and teaching with scoring rubrics (criteria)</w:t>
            </w:r>
          </w:p>
        </w:tc>
      </w:tr>
      <w:tr w:rsidR="00716F77" w:rsidRPr="00576197">
        <w:trPr>
          <w:trHeight w:val="4100"/>
        </w:trPr>
        <w:tc>
          <w:tcPr>
            <w:tcW w:w="2084" w:type="dxa"/>
            <w:shd w:val="clear" w:color="auto" w:fill="auto"/>
          </w:tcPr>
          <w:p w:rsidR="00716F77" w:rsidRPr="00576197" w:rsidRDefault="00841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reading</w:t>
            </w:r>
          </w:p>
        </w:tc>
        <w:tc>
          <w:tcPr>
            <w:tcW w:w="7204" w:type="dxa"/>
          </w:tcPr>
          <w:p w:rsidR="00716F77" w:rsidRPr="00576197" w:rsidRDefault="008416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Reid ,N. &amp; Shah, I. (2007) The role of laboratory work in university chemistry . Chem. Educ. Res. </w:t>
            </w:r>
            <w:proofErr w:type="spellStart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Pract</w:t>
            </w:r>
            <w:proofErr w:type="spellEnd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., 8, 172-185 (DOI: 10.1039/B5RP90026C)</w:t>
            </w:r>
          </w:p>
          <w:p w:rsidR="00716F77" w:rsidRPr="00576197" w:rsidRDefault="008416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Domin</w:t>
            </w:r>
            <w:proofErr w:type="spellEnd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S.A. (1999) Review of Laboratory Instruction Styles, </w:t>
            </w:r>
            <w:proofErr w:type="spellStart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J.Chem.Educ</w:t>
            </w:r>
            <w:proofErr w:type="spellEnd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. 76 (4), 543-547 (DOI: 10.1021/ed076p543).</w:t>
            </w:r>
          </w:p>
          <w:p w:rsidR="00716F77" w:rsidRPr="00576197" w:rsidRDefault="008416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Seery</w:t>
            </w:r>
            <w:proofErr w:type="spellEnd"/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(2015) Putting chemistry in context, Education in Chemistry, available on https://eic.rsc.org/feature/putting-chemistry-in-context/2000106.article </w:t>
            </w:r>
          </w:p>
          <w:p w:rsidR="00716F77" w:rsidRPr="00576197" w:rsidRDefault="008416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Kennedy, </w:t>
            </w:r>
            <w:r w:rsidR="00BF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D.,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Hyland, </w:t>
            </w:r>
            <w:r w:rsidR="00BF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A.,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Ryan</w:t>
            </w:r>
            <w:r w:rsidR="00BF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(2007).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Writing and Using Learni</w:t>
            </w:r>
            <w:r w:rsidR="00BF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Outcomes: a Practical Guide. </w:t>
            </w:r>
            <w:r w:rsidR="00BF2872"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on</w:t>
            </w:r>
            <w:r w:rsidR="00BF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http://www.tcd.ie/teaching-learning/academic-development/assets/pdf/Kennedy_Writing_and_Using_Learning_Outcomes.pdf </w:t>
            </w:r>
          </w:p>
          <w:p w:rsidR="00716F77" w:rsidRPr="00576197" w:rsidRDefault="008416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Cousin </w:t>
            </w:r>
            <w:r w:rsidR="00BF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G.,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(2006) An introduction to threshold concepts, Planet No.17, available on https://www.ee.ucl.ac.uk/~mflanaga/Cousin%20Planet%2017.pdf</w:t>
            </w:r>
          </w:p>
          <w:p w:rsidR="00716F77" w:rsidRPr="00BF2872" w:rsidRDefault="00BF28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>Draper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r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(2008) </w:t>
            </w:r>
            <w:r w:rsidR="00841606" w:rsidRPr="00576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three types of knowledge in chemistry </w:t>
            </w:r>
            <w:hyperlink r:id="rId5" w:history="1">
              <w:r w:rsidRPr="0013582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http://www.psy.gla.ac.uk/~steve/best/alex.html</w:t>
              </w:r>
            </w:hyperlink>
          </w:p>
          <w:p w:rsidR="00BF2872" w:rsidRPr="00BF2872" w:rsidRDefault="00BF2872" w:rsidP="00BF2872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Herrington </w:t>
            </w:r>
            <w:r w:rsidR="001851E6">
              <w:rPr>
                <w:rFonts w:ascii="Times New Roman" w:hAnsi="Times New Roman" w:cs="Times New Roman"/>
                <w:sz w:val="24"/>
                <w:szCs w:val="24"/>
              </w:rPr>
              <w:t xml:space="preserve">, D.G. 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Nakhleh</w:t>
            </w:r>
            <w:proofErr w:type="spellEnd"/>
            <w:r w:rsidR="001851E6">
              <w:rPr>
                <w:rFonts w:ascii="Times New Roman" w:hAnsi="Times New Roman" w:cs="Times New Roman"/>
                <w:sz w:val="24"/>
                <w:szCs w:val="24"/>
              </w:rPr>
              <w:t xml:space="preserve">, M. B. 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(2003) "What Defines Effective Chemistry Laboratory Instruction?"</w:t>
            </w:r>
          </w:p>
          <w:p w:rsidR="00BF2872" w:rsidRPr="00BF2872" w:rsidRDefault="00BF2872" w:rsidP="00BF2872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Johnstone</w:t>
            </w:r>
            <w:proofErr w:type="spellEnd"/>
            <w:r w:rsidRPr="00BF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(1997). 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 xml:space="preserve">Chemistry Teaching - Science or Alchemy? 1996 </w:t>
            </w:r>
            <w:proofErr w:type="spellStart"/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Brasted</w:t>
            </w:r>
            <w:proofErr w:type="spellEnd"/>
            <w:r w:rsidRPr="00BF2872">
              <w:rPr>
                <w:rFonts w:ascii="Times New Roman" w:hAnsi="Times New Roman" w:cs="Times New Roman"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J. Chem. Educ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., , 74 (3), p 262-268</w:t>
            </w:r>
          </w:p>
          <w:p w:rsidR="00BF2872" w:rsidRPr="00576197" w:rsidRDefault="00BF2872" w:rsidP="00BF2872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Goodrich Andrade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H. (2005).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Teaching with Rubrics: The Good, the Bad, and the Ugly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College Teaching, Vol. 53, No. 1 pp. 27-30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available on </w:t>
            </w:r>
            <w:r w:rsidRPr="00BF2872">
              <w:rPr>
                <w:rFonts w:ascii="Times New Roman" w:hAnsi="Times New Roman" w:cs="Times New Roman"/>
                <w:sz w:val="24"/>
                <w:szCs w:val="24"/>
              </w:rPr>
              <w:t>https://e-learn.sdu.dk/bbcswebdav/courses/E-learn_Support_Center/Andrade_2005_good_bad_ugly.pdf</w:t>
            </w:r>
          </w:p>
        </w:tc>
      </w:tr>
    </w:tbl>
    <w:p w:rsidR="00716F77" w:rsidRDefault="00716F77" w:rsidP="00BF2872"/>
    <w:sectPr w:rsidR="00716F77" w:rsidSect="00F95FB4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7C478" w16cid:durableId="1D8BC26F"/>
  <w16cid:commentId w16cid:paraId="01991C65" w16cid:durableId="1D8BC2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03D2"/>
    <w:multiLevelType w:val="multilevel"/>
    <w:tmpl w:val="73CE2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41703D"/>
    <w:multiLevelType w:val="multilevel"/>
    <w:tmpl w:val="5A387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77"/>
    <w:rsid w:val="00100798"/>
    <w:rsid w:val="001851E6"/>
    <w:rsid w:val="002B4885"/>
    <w:rsid w:val="003261D3"/>
    <w:rsid w:val="004159D0"/>
    <w:rsid w:val="00576197"/>
    <w:rsid w:val="00716F77"/>
    <w:rsid w:val="00841606"/>
    <w:rsid w:val="00A9286C"/>
    <w:rsid w:val="00BF2872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D4F1-6653-4AC4-A5A8-016EED1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5FB4"/>
  </w:style>
  <w:style w:type="paragraph" w:styleId="Nagwek1">
    <w:name w:val="heading 1"/>
    <w:basedOn w:val="Normalny"/>
    <w:next w:val="Normalny"/>
    <w:rsid w:val="00F95FB4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rsid w:val="00F95F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95F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95F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95FB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95F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F95F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95F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F95FB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FB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F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28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2872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F2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.gla.ac.uk/~steve/best/alex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Brouwer</dc:creator>
  <cp:lastModifiedBy>Bozena</cp:lastModifiedBy>
  <cp:revision>2</cp:revision>
  <dcterms:created xsi:type="dcterms:W3CDTF">2017-10-19T06:38:00Z</dcterms:created>
  <dcterms:modified xsi:type="dcterms:W3CDTF">2017-10-19T06:38:00Z</dcterms:modified>
</cp:coreProperties>
</file>